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56"/>
          <w:szCs w:val="56"/>
          <w:rtl w:val="0"/>
        </w:rPr>
        <w:t xml:space="preserve">EBONIE T. MCDANIEL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Healthcare Systems &amp; Service Designer  |  Clinical Trials Platforms  |  Digital Health &amp; 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a5276" w:space="6" w:sz="8" w:val="single"/>
        </w:pBdr>
        <w:spacing w:after="0" w:before="0" w:lineRule="auto"/>
        <w:jc w:val="center"/>
        <w:rPr/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19"/>
            <w:szCs w:val="19"/>
            <w:u w:val="single"/>
            <w:rtl w:val="0"/>
          </w:rPr>
          <w:t xml:space="preserve">eboniemcdaniel@gmail.com</w:t>
        </w:r>
      </w:hyperlink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 | 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9"/>
            <w:szCs w:val="19"/>
            <w:u w:val="single"/>
            <w:rtl w:val="0"/>
          </w:rPr>
          <w:t xml:space="preserve">linkedin.com/in/ebonietmcdaniel</w:t>
        </w:r>
      </w:hyperlink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 | 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9"/>
            <w:szCs w:val="19"/>
            <w:u w:val="single"/>
            <w:rtl w:val="0"/>
          </w:rPr>
          <w:t xml:space="preserve">eboniemcdaniel.tech</w:t>
        </w:r>
      </w:hyperlink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|   Emeryville,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a5276" w:space="4" w:sz="10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Healthcare Systems and Service Designer with 15+ years at the intersection of clinical research, UX research, and human-centered design. Brings firsthand experience with the workflows, regulatory frameworks, and operational systems that support modern medical research — translating complex clinical processes into intuitive digital systems that improve collaboration, efficiency, and patient-centered care. Deep expertise in LMS workflows, clinical trial platforms, and AI-powered healthcare systems. Skilled at synthesizing research insights into actionable requirements and communicating design rationale to cross-functional stakeholders including Product, Engineering, and Clinical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5276" w:space="4" w:sz="10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User Research &amp; Usability Testing  •  Contextual Inquiry &amp; Interviews  •  Task &amp; Workflow Analysis  •  Persona Development  •  Service Blueprinting  •  Journey Mapping  •  Behavioral Science  •  Interaction Design  •  Information Architecture  •  LMS/LXP Platforms  •  Figma  •  Mural  •  Qualtrics  •  EPIC  •  Veeva Vault  •  Florence e-Binder  •  HIPAA / 21 CFR Compliance  •  Design Systems  •  Accessibility Best Practices  •  Co-Design Facilitation  •  AI-Enabled Healthcare Platforms  •  Systems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1a5276" w:space="4" w:sz="10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360"/>
        </w:tabs>
        <w:spacing w:after="3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Experience Design Consultant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June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Kaiser Permanente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 |  Pleasanton,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Conduct end-to-end user research — including contextual interviews, usability evaluations, workflow analyses, and behavioral observation — to understand how clinical staff and study participants interact with platforms including Verily ViewPoint, EPIC, Florence e-Binder, and the KPlearn LMS.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Update, evaluate, and optimize learning experiences within KPlearn (LMS), applying usability heuristics to identify friction points and improve content accessibility, task completion, and learner engagement across clinical and administrative staff populations.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Plan and facilitate rapid usability testing sessions across development stages from early prototypes to validation-ready experiences, documenting findings and translating them into clear, prioritized design recommendations.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Develop service blueprints, user journey maps, and UI specifications to surface pain points across multi-stakeholder ecosystems (participants, study coordinators, clinicians, regulatory teams), reducing onboarding friction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Apply behavioral science principles to redesign participant and learner touchpoints throughout study and training lifecycles, increasing enrollment completion and long-term protocol adherence while reducing support inquiries by 35%.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Facilitate co-design workshops with Product Managers, Engineers, Researchers, and Clinical Operations teams to align on service delivery models and accelerate decision-making in complex, regulated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Produce clear, transferable documentation including research plans, usability reports, task analyses, and UI requirements documents for engineering and design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Advocate for user needs and usability best practices across cross-functional teams, balancing safety, effectiveness, and business constraints in a regulated healthcare setting.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after="3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User Experience Analyst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December 2022 – June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Kaiser Permanente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 |  Oakland,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Conducted usability evaluations and analyzed digital workflows to surface friction points and inform iterative design improvements across clinical and administrative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Synthesized research findings into actionable recommendations presented to product and leadership teams, directly influencing feature prioritization and interface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Supported experience design efforts across Kaiser Permanente's Clinical Trials Program, contributing to cross-functional alignment on platform usability and workflow optimization.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3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Experience Researcher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March 2021 –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Adobe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 | 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Led UX research for Acrobat web and mobile experiences, designing and executing A/B tests, structured usability studies, and behavioral analyses to simplify high-volume document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Delivered data-driven insights improving task completion ease by 30%, driving measurably higher engagement and reducing support intervention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Collaborated with cross-functional teams across Product, Design, and Engineering to ensure research insights shaped product strategy and interface improvements — translating findings into shipped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after="3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Clinical Operations Manager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June 2016 – March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Agilent Technologies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 |  Santa Clara,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Designed and executed user-centered usability studies for medical device workflows, applying service design methodologies to map end-to-end participant and clinician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Built data visualization dashboards to track participant behavior patterns and performance metrics, presenting insights to stakeholders to guide product roadmap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Translated clinician and participant feedback into prioritized usability improvements and feature enhancements in close collaboration with Product and Engineering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Reduced study bottlenecks by 25% through systematic workflow analysis and participant-centered process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Oversaw regulatory compliance and trial execution across multiple research programs, ensuring alignment with HIPAA and 21 CFR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360"/>
        </w:tabs>
        <w:spacing w:after="3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Research Specialist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September 2014 – June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Genentech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 |  South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Mapped participant journeys across global early-phase oncology trials to identify pain points in recruitment, onboarding, and ongoing engagement, coordinating with cross-functional teams to streamline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Applied behavioral insights to redesign participant touchpoints, contributing to a 20% improvement in recruitment efficiency and accelerated study timelines.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Collaborated with clinical operations and study management teams to ensure protocol adherence and data quality across complex, multi-site oncology studies.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1a5276" w:space="4" w:sz="10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360"/>
        </w:tabs>
        <w:spacing w:after="3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Certificate, UX/UI Design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—  UC Berkeley Extension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360"/>
        </w:tabs>
        <w:spacing w:after="3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User Interface Visual Design Certificate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—  General Assembly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2018–2019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360"/>
        </w:tabs>
        <w:spacing w:after="3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B.A., Psychology (Minor: Marketing)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—  California State University, Dominguez Hills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9"/>
          <w:szCs w:val="19"/>
          <w:rtl w:val="0"/>
        </w:rPr>
        <w:t xml:space="preserve">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1a5276" w:space="4" w:sz="10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1"/>
          <w:szCs w:val="21"/>
          <w:rtl w:val="0"/>
        </w:rPr>
        <w:t xml:space="preserve">CERTIFICATIONS &amp;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CITI: HIPAA Basics for Healthcare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CITI: GCP for Clinical Trials with Investigational Drugs and Biologics (ICH Focus)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KP Learn: Kaiser Permanente Human Centered Design (HCD) Guild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32" w:right="0" w:hanging="21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u w:val="none"/>
          <w:shd w:fill="auto" w:val="clear"/>
          <w:vertAlign w:val="baseline"/>
          <w:rtl w:val="0"/>
        </w:rPr>
        <w:t xml:space="preserve">HXRlabs: Transitioning Into UX for Healthcare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32" w:hanging="216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boniemcdaniel@gmail.com" TargetMode="External"/><Relationship Id="rId7" Type="http://schemas.openxmlformats.org/officeDocument/2006/relationships/hyperlink" Target="http://linkedin.com/in/ebonietmcdaniel" TargetMode="External"/><Relationship Id="rId8" Type="http://schemas.openxmlformats.org/officeDocument/2006/relationships/hyperlink" Target="http://www.eboniemcdaniel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